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6F" w:rsidRDefault="00006CE9">
      <w:pPr>
        <w:jc w:val="center"/>
        <w:rPr>
          <w:b/>
          <w:sz w:val="28"/>
          <w:szCs w:val="28"/>
        </w:rPr>
      </w:pPr>
      <w:r>
        <w:rPr>
          <w:b/>
          <w:sz w:val="28"/>
          <w:szCs w:val="28"/>
        </w:rPr>
        <w:t>A Practical Introduction to the</w:t>
      </w:r>
      <w:r>
        <w:rPr>
          <w:b/>
          <w:sz w:val="28"/>
          <w:szCs w:val="28"/>
        </w:rPr>
        <w:br/>
        <w:t>Functional Resonance Analysis Method (FRAM)</w:t>
      </w:r>
    </w:p>
    <w:p w:rsidR="00BD0D6F" w:rsidRDefault="00006CE9">
      <w:pPr>
        <w:jc w:val="center"/>
        <w:rPr>
          <w:sz w:val="20"/>
        </w:rPr>
      </w:pPr>
      <w:r>
        <w:rPr>
          <w:b/>
          <w:sz w:val="28"/>
          <w:szCs w:val="28"/>
        </w:rPr>
        <w:t>Course instructor: Professor Erik Hollnagel</w:t>
      </w:r>
    </w:p>
    <w:p w:rsidR="00BD0D6F" w:rsidRDefault="00BD0D6F">
      <w:pPr>
        <w:rPr>
          <w:sz w:val="20"/>
        </w:rPr>
      </w:pPr>
    </w:p>
    <w:p w:rsidR="00BD0D6F" w:rsidRPr="002522AE" w:rsidRDefault="00006CE9">
      <w:pPr>
        <w:rPr>
          <w:sz w:val="22"/>
          <w:szCs w:val="22"/>
          <w:lang w:val="en-US"/>
        </w:rPr>
      </w:pPr>
      <w:r w:rsidRPr="002522AE">
        <w:rPr>
          <w:b/>
          <w:sz w:val="22"/>
          <w:szCs w:val="22"/>
          <w:lang w:val="en-US"/>
        </w:rPr>
        <w:t xml:space="preserve">Objective </w:t>
      </w:r>
    </w:p>
    <w:p w:rsidR="00BD0D6F" w:rsidRPr="002522AE" w:rsidRDefault="00006CE9">
      <w:pPr>
        <w:rPr>
          <w:sz w:val="22"/>
          <w:szCs w:val="22"/>
        </w:rPr>
      </w:pPr>
      <w:r w:rsidRPr="002522AE">
        <w:rPr>
          <w:sz w:val="22"/>
          <w:szCs w:val="22"/>
          <w:lang w:val="en-US"/>
        </w:rPr>
        <w:t>The objective of this course is to introduce the Functional Resonance Analysis Method (FRAM). The purpose of the FRAM is to model how complex socio-technical systems function. A FRAM model can be the basis for accident investigation, performance improvement, safety management, and system design.</w:t>
      </w:r>
    </w:p>
    <w:p w:rsidR="00BD0D6F" w:rsidRPr="002522AE" w:rsidRDefault="00BD0D6F">
      <w:pPr>
        <w:rPr>
          <w:b/>
          <w:sz w:val="22"/>
          <w:szCs w:val="22"/>
          <w:lang w:val="en-US"/>
        </w:rPr>
      </w:pPr>
    </w:p>
    <w:p w:rsidR="00BD0D6F" w:rsidRPr="002522AE" w:rsidRDefault="00006CE9">
      <w:pPr>
        <w:rPr>
          <w:sz w:val="22"/>
          <w:szCs w:val="22"/>
          <w:lang w:val="en-US"/>
        </w:rPr>
      </w:pPr>
      <w:r w:rsidRPr="002522AE">
        <w:rPr>
          <w:b/>
          <w:sz w:val="22"/>
          <w:szCs w:val="22"/>
          <w:lang w:val="en-US"/>
        </w:rPr>
        <w:t xml:space="preserve">Prerequisites </w:t>
      </w:r>
    </w:p>
    <w:p w:rsidR="00BD0D6F" w:rsidRPr="002522AE" w:rsidRDefault="00006CE9">
      <w:pPr>
        <w:rPr>
          <w:sz w:val="22"/>
          <w:szCs w:val="22"/>
          <w:lang w:val="en-US"/>
        </w:rPr>
      </w:pPr>
      <w:r w:rsidRPr="002522AE">
        <w:rPr>
          <w:sz w:val="22"/>
          <w:szCs w:val="22"/>
          <w:lang w:val="en-US"/>
        </w:rPr>
        <w:t xml:space="preserve">Some practical experience with work analysis and work management in industrial settings. Basic knowledge about Safety Management and Human Factors and/or Resilience Engineering will be an advantage. Practical experience with event analysis or safety management is not a requirement, but may be useful. </w:t>
      </w:r>
    </w:p>
    <w:p w:rsidR="00BD0D6F" w:rsidRPr="002522AE" w:rsidRDefault="00BD0D6F">
      <w:pPr>
        <w:rPr>
          <w:sz w:val="22"/>
          <w:szCs w:val="22"/>
          <w:lang w:val="en-US"/>
        </w:rPr>
      </w:pPr>
    </w:p>
    <w:p w:rsidR="00BD0D6F" w:rsidRPr="002522AE" w:rsidRDefault="00006CE9">
      <w:pPr>
        <w:rPr>
          <w:sz w:val="22"/>
          <w:szCs w:val="22"/>
        </w:rPr>
      </w:pPr>
      <w:r w:rsidRPr="002522AE">
        <w:rPr>
          <w:b/>
          <w:sz w:val="22"/>
          <w:szCs w:val="22"/>
          <w:lang w:val="en-US"/>
        </w:rPr>
        <w:t xml:space="preserve">Course Description </w:t>
      </w:r>
    </w:p>
    <w:p w:rsidR="00BD0D6F" w:rsidRPr="002522AE" w:rsidRDefault="00006CE9">
      <w:pPr>
        <w:rPr>
          <w:sz w:val="22"/>
          <w:szCs w:val="22"/>
          <w:lang w:val="en-US"/>
        </w:rPr>
      </w:pPr>
      <w:r w:rsidRPr="002522AE">
        <w:rPr>
          <w:sz w:val="22"/>
          <w:szCs w:val="22"/>
        </w:rPr>
        <w:t xml:space="preserve">The safe and efficient functioning of today’s industrialised societies arises from a non-trivial network of complex socio-technical systems where performance depends on tightly coupled social and technical factors. It is vital to be able to analyse and understand these systems in order to prevent accidents, to recover from disruptions or disturbances, and to make use of opportunities. Most analysis methods are based on linear cause-effect relations among sub-systems and components. </w:t>
      </w:r>
      <w:r w:rsidRPr="002522AE">
        <w:rPr>
          <w:sz w:val="22"/>
          <w:szCs w:val="22"/>
          <w:lang w:val="en-US"/>
        </w:rPr>
        <w:t>The experiences from many different domains is, however, that such methods are unable to account for the non-linear dynamics and dependencies that characterize today’s socio-technical systems. The FRAM has been developed within the Resilience Engineering framework as a practical approach to model the functioning of complex socio-technical systems and to use these models for both reactive and proactive analyses.</w:t>
      </w:r>
    </w:p>
    <w:p w:rsidR="00BD0D6F" w:rsidRPr="002522AE" w:rsidRDefault="00BD0D6F">
      <w:pPr>
        <w:rPr>
          <w:sz w:val="22"/>
          <w:szCs w:val="22"/>
          <w:lang w:val="en-US"/>
        </w:rPr>
      </w:pPr>
    </w:p>
    <w:p w:rsidR="00BD0D6F" w:rsidRPr="002522AE" w:rsidRDefault="00006CE9">
      <w:pPr>
        <w:rPr>
          <w:sz w:val="22"/>
          <w:szCs w:val="22"/>
          <w:lang w:val="en-US"/>
        </w:rPr>
      </w:pPr>
      <w:r w:rsidRPr="002522AE">
        <w:rPr>
          <w:b/>
          <w:sz w:val="22"/>
          <w:szCs w:val="22"/>
          <w:lang w:val="en-US"/>
        </w:rPr>
        <w:t>Course Contents</w:t>
      </w:r>
    </w:p>
    <w:p w:rsidR="00BD0D6F" w:rsidRPr="002522AE" w:rsidRDefault="00006CE9">
      <w:pPr>
        <w:rPr>
          <w:sz w:val="22"/>
          <w:szCs w:val="22"/>
          <w:lang w:val="en-US"/>
        </w:rPr>
      </w:pPr>
      <w:r w:rsidRPr="002522AE">
        <w:rPr>
          <w:sz w:val="22"/>
          <w:szCs w:val="22"/>
          <w:lang w:val="en-US"/>
        </w:rPr>
        <w:t>This is a two-day non-residential course.</w:t>
      </w:r>
    </w:p>
    <w:p w:rsidR="00BD0D6F" w:rsidRPr="002522AE" w:rsidRDefault="00006CE9">
      <w:pPr>
        <w:rPr>
          <w:sz w:val="22"/>
          <w:szCs w:val="22"/>
          <w:lang w:val="en-US"/>
        </w:rPr>
      </w:pPr>
      <w:r w:rsidRPr="002522AE">
        <w:rPr>
          <w:sz w:val="22"/>
          <w:szCs w:val="22"/>
          <w:lang w:val="en-US"/>
        </w:rPr>
        <w:t>Day 1:</w:t>
      </w:r>
    </w:p>
    <w:p w:rsidR="00BD0D6F" w:rsidRPr="002522AE" w:rsidRDefault="00006CE9">
      <w:pPr>
        <w:rPr>
          <w:sz w:val="22"/>
          <w:szCs w:val="22"/>
          <w:lang w:val="en-US"/>
        </w:rPr>
      </w:pPr>
      <w:r w:rsidRPr="002522AE">
        <w:rPr>
          <w:sz w:val="22"/>
          <w:szCs w:val="22"/>
          <w:lang w:val="en-US"/>
        </w:rPr>
        <w:t>Introduction to Safety-I and Safety-II</w:t>
      </w:r>
    </w:p>
    <w:p w:rsidR="00BD0D6F" w:rsidRPr="002522AE" w:rsidRDefault="00006CE9">
      <w:pPr>
        <w:rPr>
          <w:sz w:val="22"/>
          <w:szCs w:val="22"/>
          <w:lang w:val="en-US"/>
        </w:rPr>
      </w:pPr>
      <w:r w:rsidRPr="002522AE">
        <w:rPr>
          <w:sz w:val="22"/>
          <w:szCs w:val="22"/>
          <w:lang w:val="en-US"/>
        </w:rPr>
        <w:t>Introduction to the FRAM and the FRAM Model Visualiser (FMV)</w:t>
      </w:r>
    </w:p>
    <w:p w:rsidR="00BD0D6F" w:rsidRPr="002522AE" w:rsidRDefault="00006CE9">
      <w:pPr>
        <w:rPr>
          <w:sz w:val="22"/>
          <w:szCs w:val="22"/>
          <w:lang w:val="en-US"/>
        </w:rPr>
      </w:pPr>
      <w:r w:rsidRPr="002522AE">
        <w:rPr>
          <w:sz w:val="22"/>
          <w:szCs w:val="22"/>
          <w:lang w:val="en-US"/>
        </w:rPr>
        <w:t>Practice in how to use the method and the FMV (prepared examples).</w:t>
      </w:r>
    </w:p>
    <w:p w:rsidR="00BD0D6F" w:rsidRPr="002522AE" w:rsidRDefault="00006CE9">
      <w:pPr>
        <w:rPr>
          <w:sz w:val="22"/>
          <w:szCs w:val="22"/>
          <w:lang w:val="en-US"/>
        </w:rPr>
      </w:pPr>
      <w:r w:rsidRPr="002522AE">
        <w:rPr>
          <w:sz w:val="22"/>
          <w:szCs w:val="22"/>
          <w:lang w:val="en-US"/>
        </w:rPr>
        <w:t xml:space="preserve">Group exercises and discussion. </w:t>
      </w:r>
    </w:p>
    <w:p w:rsidR="00BD0D6F" w:rsidRPr="002522AE" w:rsidRDefault="00006CE9">
      <w:pPr>
        <w:rPr>
          <w:sz w:val="22"/>
          <w:szCs w:val="22"/>
          <w:lang w:val="en-US"/>
        </w:rPr>
      </w:pPr>
      <w:r w:rsidRPr="002522AE">
        <w:rPr>
          <w:sz w:val="22"/>
          <w:szCs w:val="22"/>
          <w:lang w:val="en-US"/>
        </w:rPr>
        <w:t>Day 2:</w:t>
      </w:r>
    </w:p>
    <w:p w:rsidR="00BD0D6F" w:rsidRPr="002522AE" w:rsidRDefault="00006CE9">
      <w:pPr>
        <w:rPr>
          <w:sz w:val="22"/>
          <w:szCs w:val="22"/>
          <w:lang w:val="en-US"/>
        </w:rPr>
      </w:pPr>
      <w:r w:rsidRPr="002522AE">
        <w:rPr>
          <w:sz w:val="22"/>
          <w:szCs w:val="22"/>
          <w:lang w:val="en-US"/>
        </w:rPr>
        <w:t>Beginning to build a FRAM model for self-provided examples.</w:t>
      </w:r>
    </w:p>
    <w:p w:rsidR="00BD0D6F" w:rsidRPr="002522AE" w:rsidRDefault="00006CE9">
      <w:pPr>
        <w:rPr>
          <w:sz w:val="22"/>
          <w:szCs w:val="22"/>
          <w:lang w:val="en-US"/>
        </w:rPr>
      </w:pPr>
      <w:r w:rsidRPr="002522AE">
        <w:rPr>
          <w:sz w:val="22"/>
          <w:szCs w:val="22"/>
          <w:lang w:val="en-US"/>
        </w:rPr>
        <w:t>How to complete the model.</w:t>
      </w:r>
    </w:p>
    <w:p w:rsidR="00BD0D6F" w:rsidRPr="002522AE" w:rsidRDefault="00006CE9">
      <w:pPr>
        <w:rPr>
          <w:sz w:val="22"/>
          <w:szCs w:val="22"/>
          <w:lang w:val="en-US"/>
        </w:rPr>
      </w:pPr>
      <w:r w:rsidRPr="002522AE">
        <w:rPr>
          <w:sz w:val="22"/>
          <w:szCs w:val="22"/>
          <w:lang w:val="en-US"/>
        </w:rPr>
        <w:lastRenderedPageBreak/>
        <w:t>How to plan a FRAM analysis and how to use the resulting model.</w:t>
      </w:r>
    </w:p>
    <w:p w:rsidR="00BD0D6F" w:rsidRPr="002522AE" w:rsidRDefault="00006CE9">
      <w:pPr>
        <w:rPr>
          <w:sz w:val="22"/>
          <w:szCs w:val="22"/>
          <w:lang w:val="en-US"/>
        </w:rPr>
      </w:pPr>
      <w:r w:rsidRPr="002522AE">
        <w:rPr>
          <w:sz w:val="22"/>
          <w:szCs w:val="22"/>
          <w:lang w:val="en-US"/>
        </w:rPr>
        <w:t>Group exercises and discussion.</w:t>
      </w:r>
    </w:p>
    <w:p w:rsidR="00BD0D6F" w:rsidRPr="002522AE" w:rsidRDefault="00BD0D6F">
      <w:pPr>
        <w:rPr>
          <w:sz w:val="22"/>
          <w:szCs w:val="22"/>
          <w:lang w:val="en-US"/>
        </w:rPr>
      </w:pPr>
    </w:p>
    <w:p w:rsidR="00BD0D6F" w:rsidRPr="002522AE" w:rsidRDefault="00006CE9">
      <w:pPr>
        <w:rPr>
          <w:sz w:val="22"/>
          <w:szCs w:val="22"/>
          <w:lang w:val="en-US"/>
        </w:rPr>
      </w:pPr>
      <w:r w:rsidRPr="002522AE">
        <w:rPr>
          <w:b/>
          <w:sz w:val="22"/>
          <w:szCs w:val="22"/>
          <w:lang w:val="en-US"/>
        </w:rPr>
        <w:t>Target Group</w:t>
      </w:r>
    </w:p>
    <w:p w:rsidR="00BD0D6F" w:rsidRPr="002522AE" w:rsidRDefault="00006CE9">
      <w:pPr>
        <w:rPr>
          <w:sz w:val="22"/>
          <w:szCs w:val="22"/>
          <w:lang w:val="en-US"/>
        </w:rPr>
      </w:pPr>
      <w:r w:rsidRPr="002522AE">
        <w:rPr>
          <w:sz w:val="22"/>
          <w:szCs w:val="22"/>
          <w:lang w:val="en-US"/>
        </w:rPr>
        <w:t>Professionals who are working with work and safety management in different industries (for instance process industries, energy, transportation, production,</w:t>
      </w:r>
      <w:r w:rsidR="002522AE" w:rsidRPr="002522AE">
        <w:rPr>
          <w:sz w:val="22"/>
          <w:szCs w:val="22"/>
          <w:lang w:val="en-US"/>
        </w:rPr>
        <w:t xml:space="preserve"> construction and health</w:t>
      </w:r>
      <w:r w:rsidRPr="002522AE">
        <w:rPr>
          <w:sz w:val="22"/>
          <w:szCs w:val="22"/>
          <w:lang w:val="en-US"/>
        </w:rPr>
        <w:t xml:space="preserve"> care).</w:t>
      </w:r>
    </w:p>
    <w:p w:rsidR="00BD0D6F" w:rsidRPr="002522AE" w:rsidRDefault="00BD0D6F">
      <w:pPr>
        <w:rPr>
          <w:sz w:val="22"/>
          <w:szCs w:val="22"/>
          <w:lang w:val="en-US"/>
        </w:rPr>
      </w:pPr>
    </w:p>
    <w:p w:rsidR="00BD0D6F" w:rsidRPr="002522AE" w:rsidRDefault="00006CE9">
      <w:pPr>
        <w:rPr>
          <w:sz w:val="22"/>
          <w:szCs w:val="22"/>
          <w:lang w:val="en-US"/>
        </w:rPr>
      </w:pPr>
      <w:r w:rsidRPr="002522AE">
        <w:rPr>
          <w:b/>
          <w:bCs/>
          <w:sz w:val="22"/>
          <w:szCs w:val="22"/>
          <w:lang w:val="en-US"/>
        </w:rPr>
        <w:t>Outcome</w:t>
      </w:r>
    </w:p>
    <w:p w:rsidR="00BD0D6F" w:rsidRPr="002522AE" w:rsidRDefault="00006CE9">
      <w:pPr>
        <w:rPr>
          <w:sz w:val="22"/>
          <w:szCs w:val="22"/>
          <w:lang w:val="en-US"/>
        </w:rPr>
      </w:pPr>
      <w:r w:rsidRPr="002522AE">
        <w:rPr>
          <w:sz w:val="22"/>
          <w:szCs w:val="22"/>
          <w:lang w:val="en-US"/>
        </w:rPr>
        <w:t xml:space="preserve">After the course, the participants will have a good understanding of the FRAM, and of how to apply a Safety-II perspective in practice. They will have practical experience with the method, and how it can be used it in their own work. </w:t>
      </w:r>
    </w:p>
    <w:p w:rsidR="00BD0D6F" w:rsidRPr="002522AE" w:rsidRDefault="00BD0D6F">
      <w:pPr>
        <w:rPr>
          <w:b/>
          <w:sz w:val="22"/>
          <w:szCs w:val="22"/>
          <w:lang w:val="en-US"/>
        </w:rPr>
      </w:pPr>
    </w:p>
    <w:p w:rsidR="00BD0D6F" w:rsidRPr="002522AE" w:rsidRDefault="00006CE9">
      <w:pPr>
        <w:rPr>
          <w:sz w:val="22"/>
          <w:szCs w:val="22"/>
          <w:lang w:val="en-US"/>
        </w:rPr>
      </w:pPr>
      <w:r w:rsidRPr="002522AE">
        <w:rPr>
          <w:b/>
          <w:sz w:val="22"/>
          <w:szCs w:val="22"/>
          <w:lang w:val="en-US"/>
        </w:rPr>
        <w:t xml:space="preserve">Course Material </w:t>
      </w:r>
    </w:p>
    <w:p w:rsidR="00BD0D6F" w:rsidRPr="002522AE" w:rsidRDefault="00006CE9">
      <w:pPr>
        <w:rPr>
          <w:sz w:val="22"/>
          <w:szCs w:val="22"/>
          <w:lang w:val="en-US"/>
        </w:rPr>
      </w:pPr>
      <w:r w:rsidRPr="002522AE">
        <w:rPr>
          <w:sz w:val="22"/>
          <w:szCs w:val="22"/>
          <w:lang w:val="en-US"/>
        </w:rPr>
        <w:t>Lectures in pdf format will be provided, as well as a FRAM handbook and the FRAM Model Visualiser (FMV) software.</w:t>
      </w:r>
    </w:p>
    <w:p w:rsidR="00BD0D6F" w:rsidRPr="002522AE" w:rsidRDefault="00006CE9">
      <w:pPr>
        <w:rPr>
          <w:sz w:val="22"/>
          <w:szCs w:val="22"/>
        </w:rPr>
      </w:pPr>
      <w:r w:rsidRPr="002522AE">
        <w:rPr>
          <w:sz w:val="22"/>
          <w:szCs w:val="22"/>
          <w:lang w:val="en-US"/>
        </w:rPr>
        <w:t>Recommended literature:</w:t>
      </w:r>
    </w:p>
    <w:p w:rsidR="00BD0D6F" w:rsidRPr="002522AE" w:rsidRDefault="00006CE9">
      <w:pPr>
        <w:rPr>
          <w:sz w:val="22"/>
          <w:szCs w:val="22"/>
        </w:rPr>
      </w:pPr>
      <w:r w:rsidRPr="002522AE">
        <w:rPr>
          <w:sz w:val="22"/>
          <w:szCs w:val="22"/>
        </w:rPr>
        <w:t>Hollnagel, E. FRAM: The Functional Resonance Analysis Method for modelling complex socio-technical systems. (Ashgate.)</w:t>
      </w:r>
    </w:p>
    <w:p w:rsidR="00BD0D6F" w:rsidRDefault="00006CE9">
      <w:pPr>
        <w:rPr>
          <w:sz w:val="22"/>
          <w:szCs w:val="22"/>
        </w:rPr>
      </w:pPr>
      <w:r w:rsidRPr="002522AE">
        <w:rPr>
          <w:sz w:val="22"/>
          <w:szCs w:val="22"/>
        </w:rPr>
        <w:t>Hollnagel, E. Safety-I and Safety-II. The past and future of safety management. (Ashgate.)</w:t>
      </w:r>
    </w:p>
    <w:p w:rsidR="00CD0C31" w:rsidRDefault="00CD0C31">
      <w:pPr>
        <w:rPr>
          <w:sz w:val="22"/>
          <w:szCs w:val="22"/>
        </w:rPr>
      </w:pPr>
    </w:p>
    <w:p w:rsidR="00CD0C31" w:rsidRDefault="00CD0C31">
      <w:pPr>
        <w:rPr>
          <w:sz w:val="22"/>
          <w:szCs w:val="22"/>
        </w:rPr>
      </w:pPr>
    </w:p>
    <w:p w:rsidR="00626A9C" w:rsidRPr="002522AE" w:rsidRDefault="00626A9C">
      <w:pPr>
        <w:rPr>
          <w:b/>
          <w:sz w:val="22"/>
          <w:szCs w:val="22"/>
        </w:rPr>
      </w:pPr>
    </w:p>
    <w:p w:rsidR="00BD0D6F" w:rsidRDefault="00006CE9">
      <w:pPr>
        <w:rPr>
          <w:szCs w:val="24"/>
        </w:rPr>
      </w:pPr>
      <w:r>
        <w:rPr>
          <w:b/>
          <w:szCs w:val="24"/>
        </w:rPr>
        <w:t>Course staff</w:t>
      </w:r>
    </w:p>
    <w:p w:rsidR="00BD0D6F" w:rsidRDefault="00BD0D6F">
      <w:pPr>
        <w:rPr>
          <w:szCs w:val="24"/>
        </w:rPr>
      </w:pPr>
    </w:p>
    <w:p w:rsidR="00BD0D6F" w:rsidRDefault="00006CE9">
      <w:r>
        <w:rPr>
          <w:szCs w:val="24"/>
        </w:rPr>
        <w:t xml:space="preserve">Erik Hollnagel is Professor and Industrial Safety Chair at MINES </w:t>
      </w:r>
      <w:proofErr w:type="spellStart"/>
      <w:r>
        <w:rPr>
          <w:szCs w:val="24"/>
        </w:rPr>
        <w:t>ParisTech</w:t>
      </w:r>
      <w:proofErr w:type="spellEnd"/>
      <w:r>
        <w:rPr>
          <w:szCs w:val="24"/>
        </w:rPr>
        <w:t xml:space="preserve"> (France) and Visiting Professor at the Norwegian University of Science and Technology (NTNU) in Trondheim (Norway). He has worked at universities, research centres, and industries in several countries and with problems from several domains, including nuclear power generation, aerospace and aviation, software engineering, healthcare, and land-based traffic. His professional interests include industrial safety, resilience engineering, accident investigation, cognitive systems engineering and cognitive ergonomics. He has published widely and is the author/editor of 17 books, including three books on resilience engineering. The latest title from Ashgate is “The ETTO Principle: Why things that go right, sometimes go wrong.”</w:t>
      </w:r>
    </w:p>
    <w:p w:rsidR="00BD0D6F" w:rsidRDefault="00BD0D6F"/>
    <w:p w:rsidR="00CD0C31" w:rsidRDefault="00006CE9">
      <w:pPr>
        <w:rPr>
          <w:szCs w:val="24"/>
        </w:rPr>
      </w:pPr>
      <w:r>
        <w:rPr>
          <w:szCs w:val="24"/>
        </w:rPr>
        <w:t>David Slater</w:t>
      </w:r>
    </w:p>
    <w:p w:rsidR="00CD0C31" w:rsidRPr="00CD0C31" w:rsidRDefault="00CD0C31" w:rsidP="00CD0C31">
      <w:pPr>
        <w:shd w:val="clear" w:color="auto" w:fill="FFFFFF"/>
        <w:spacing w:before="100" w:beforeAutospacing="1" w:after="100" w:afterAutospacing="1" w:line="255" w:lineRule="atLeast"/>
        <w:rPr>
          <w:rFonts w:eastAsiaTheme="minorHAnsi"/>
          <w:color w:val="auto"/>
          <w:szCs w:val="24"/>
          <w:lang w:eastAsia="en-US"/>
        </w:rPr>
      </w:pPr>
      <w:r>
        <w:rPr>
          <w:szCs w:val="24"/>
        </w:rPr>
        <w:t>D</w:t>
      </w:r>
      <w:r w:rsidR="00626A9C" w:rsidRPr="00CD0C31">
        <w:rPr>
          <w:szCs w:val="24"/>
        </w:rPr>
        <w:t xml:space="preserve">avid is an Honorary Professor </w:t>
      </w:r>
      <w:r w:rsidRPr="00CD0C31">
        <w:rPr>
          <w:rFonts w:eastAsiaTheme="minorHAnsi"/>
          <w:color w:val="auto"/>
          <w:szCs w:val="24"/>
          <w:lang w:eastAsia="en-US"/>
        </w:rPr>
        <w:t>in the School of Engineering, Cardiff,</w:t>
      </w:r>
      <w:r>
        <w:rPr>
          <w:rFonts w:eastAsiaTheme="minorHAnsi"/>
          <w:color w:val="auto"/>
          <w:szCs w:val="24"/>
          <w:lang w:eastAsia="en-US"/>
        </w:rPr>
        <w:t xml:space="preserve"> where</w:t>
      </w:r>
      <w:r w:rsidRPr="00CD0C31">
        <w:rPr>
          <w:rFonts w:eastAsiaTheme="minorHAnsi"/>
          <w:color w:val="auto"/>
          <w:szCs w:val="24"/>
          <w:lang w:eastAsia="en-US"/>
        </w:rPr>
        <w:t xml:space="preserve"> he is involved in projects such as Marine renewables, Systems Risk and Cyber security and has been responsible for a number of successful sustainable technology start-ups. An early pioneer of Risk Analysis in the nuclear, offshore and oil and gas industries, he has been instrumental in introducing and developing formal risk management in the United Kingdom, United States, Europe and Australia. He has been closely involved in developing policy in Health and Safety, and the Environment as a regulator and as adviser to United Kingdom and European Governments. He takes a special interest in </w:t>
      </w:r>
      <w:bookmarkStart w:id="0" w:name="_GoBack"/>
      <w:bookmarkEnd w:id="0"/>
      <w:r>
        <w:rPr>
          <w:rFonts w:eastAsiaTheme="minorHAnsi"/>
          <w:color w:val="auto"/>
          <w:szCs w:val="24"/>
          <w:lang w:eastAsia="en-US"/>
        </w:rPr>
        <w:t xml:space="preserve">corporate </w:t>
      </w:r>
      <w:r w:rsidRPr="00CD0C31">
        <w:rPr>
          <w:rFonts w:eastAsiaTheme="minorHAnsi"/>
          <w:color w:val="auto"/>
          <w:szCs w:val="24"/>
          <w:lang w:eastAsia="en-US"/>
        </w:rPr>
        <w:t>governance</w:t>
      </w:r>
      <w:r w:rsidRPr="00CD0C31">
        <w:rPr>
          <w:rFonts w:eastAsiaTheme="minorHAnsi"/>
          <w:color w:val="auto"/>
          <w:szCs w:val="24"/>
          <w:lang w:eastAsia="en-US"/>
        </w:rPr>
        <w:t>, culture</w:t>
      </w:r>
      <w:r w:rsidRPr="00CD0C31">
        <w:rPr>
          <w:rFonts w:ascii="Calibri" w:eastAsiaTheme="minorHAnsi" w:hAnsi="Calibri"/>
          <w:color w:val="auto"/>
          <w:szCs w:val="24"/>
          <w:lang w:eastAsia="en-US"/>
        </w:rPr>
        <w:t xml:space="preserve"> </w:t>
      </w:r>
      <w:r w:rsidRPr="00CD0C31">
        <w:rPr>
          <w:rFonts w:eastAsiaTheme="minorHAnsi"/>
          <w:color w:val="auto"/>
          <w:szCs w:val="24"/>
          <w:lang w:eastAsia="en-US"/>
        </w:rPr>
        <w:t>and performance in Health, Safety and Environment (HSE).</w:t>
      </w:r>
    </w:p>
    <w:p w:rsidR="00BD0D6F" w:rsidRDefault="00006CE9">
      <w:pPr>
        <w:rPr>
          <w:szCs w:val="24"/>
          <w:lang w:val="en-US"/>
        </w:rPr>
      </w:pPr>
      <w:r>
        <w:rPr>
          <w:b/>
          <w:szCs w:val="24"/>
          <w:lang w:val="en-US"/>
        </w:rPr>
        <w:t>Practical Information</w:t>
      </w:r>
    </w:p>
    <w:p w:rsidR="00BD0D6F" w:rsidRDefault="00BD0D6F">
      <w:pPr>
        <w:rPr>
          <w:szCs w:val="24"/>
          <w:lang w:val="en-US"/>
        </w:rPr>
      </w:pPr>
    </w:p>
    <w:p w:rsidR="00BD0D6F" w:rsidRDefault="00006CE9">
      <w:pPr>
        <w:ind w:left="284"/>
        <w:rPr>
          <w:szCs w:val="24"/>
          <w:lang w:val="en-US"/>
        </w:rPr>
      </w:pPr>
      <w:r>
        <w:rPr>
          <w:b/>
          <w:szCs w:val="24"/>
          <w:lang w:val="nb-NO"/>
        </w:rPr>
        <w:t>Date</w:t>
      </w:r>
    </w:p>
    <w:p w:rsidR="00626A9C" w:rsidRDefault="00006CE9">
      <w:pPr>
        <w:ind w:left="284"/>
        <w:rPr>
          <w:szCs w:val="24"/>
          <w:lang w:val="en-US"/>
        </w:rPr>
      </w:pPr>
      <w:r>
        <w:rPr>
          <w:szCs w:val="24"/>
          <w:lang w:val="en-US"/>
        </w:rPr>
        <w:t xml:space="preserve">The course will take place over </w:t>
      </w:r>
      <w:r w:rsidR="00626A9C">
        <w:rPr>
          <w:szCs w:val="24"/>
          <w:lang w:val="en-US"/>
        </w:rPr>
        <w:t xml:space="preserve">the </w:t>
      </w:r>
      <w:r>
        <w:rPr>
          <w:szCs w:val="24"/>
          <w:lang w:val="en-US"/>
        </w:rPr>
        <w:t>2 days</w:t>
      </w:r>
      <w:r w:rsidR="00626A9C">
        <w:rPr>
          <w:szCs w:val="24"/>
          <w:lang w:val="en-US"/>
        </w:rPr>
        <w:t xml:space="preserve"> October 2</w:t>
      </w:r>
      <w:r w:rsidR="00626A9C" w:rsidRPr="00626A9C">
        <w:rPr>
          <w:szCs w:val="24"/>
          <w:vertAlign w:val="superscript"/>
          <w:lang w:val="en-US"/>
        </w:rPr>
        <w:t>nd</w:t>
      </w:r>
      <w:r w:rsidR="00626A9C">
        <w:rPr>
          <w:szCs w:val="24"/>
          <w:lang w:val="en-US"/>
        </w:rPr>
        <w:t xml:space="preserve"> – October 3rd</w:t>
      </w:r>
      <w:r>
        <w:rPr>
          <w:szCs w:val="24"/>
          <w:lang w:val="en-US"/>
        </w:rPr>
        <w:t xml:space="preserve">. </w:t>
      </w:r>
    </w:p>
    <w:p w:rsidR="00626A9C" w:rsidRDefault="00626A9C">
      <w:pPr>
        <w:ind w:left="284"/>
        <w:rPr>
          <w:szCs w:val="24"/>
          <w:lang w:val="en-US"/>
        </w:rPr>
      </w:pPr>
    </w:p>
    <w:p w:rsidR="00BD0D6F" w:rsidRDefault="00006CE9">
      <w:pPr>
        <w:ind w:left="284"/>
        <w:rPr>
          <w:b/>
          <w:szCs w:val="24"/>
          <w:lang w:val="nb-NO"/>
        </w:rPr>
      </w:pPr>
      <w:r>
        <w:rPr>
          <w:b/>
          <w:szCs w:val="24"/>
          <w:lang w:val="nb-NO"/>
        </w:rPr>
        <w:t>Place</w:t>
      </w:r>
    </w:p>
    <w:p w:rsidR="00626A9C" w:rsidRDefault="00626A9C">
      <w:pPr>
        <w:ind w:left="284"/>
        <w:rPr>
          <w:szCs w:val="24"/>
          <w:lang w:val="nb-NO"/>
        </w:rPr>
      </w:pPr>
      <w:r>
        <w:rPr>
          <w:b/>
          <w:szCs w:val="24"/>
          <w:lang w:val="nb-NO"/>
        </w:rPr>
        <w:t>Cardiff University, School of Engineering, Newport Road, Cardiff.</w:t>
      </w:r>
    </w:p>
    <w:p w:rsidR="00BD0D6F" w:rsidRDefault="00BD0D6F">
      <w:pPr>
        <w:ind w:left="284"/>
        <w:rPr>
          <w:b/>
          <w:szCs w:val="24"/>
        </w:rPr>
      </w:pPr>
    </w:p>
    <w:p w:rsidR="00BD0D6F" w:rsidRDefault="00006CE9">
      <w:pPr>
        <w:ind w:left="284"/>
        <w:rPr>
          <w:b/>
          <w:szCs w:val="24"/>
        </w:rPr>
      </w:pPr>
      <w:r>
        <w:rPr>
          <w:b/>
          <w:szCs w:val="24"/>
        </w:rPr>
        <w:t>Course fee</w:t>
      </w:r>
    </w:p>
    <w:p w:rsidR="00CD0C31" w:rsidRDefault="00CD0C31">
      <w:pPr>
        <w:ind w:left="284"/>
        <w:rPr>
          <w:szCs w:val="24"/>
        </w:rPr>
      </w:pPr>
    </w:p>
    <w:p w:rsidR="00BD0D6F" w:rsidRDefault="00006CE9">
      <w:pPr>
        <w:ind w:left="284"/>
      </w:pPr>
      <w:r>
        <w:rPr>
          <w:szCs w:val="24"/>
        </w:rPr>
        <w:t xml:space="preserve">GPB </w:t>
      </w:r>
      <w:r w:rsidR="00D46D1D">
        <w:rPr>
          <w:szCs w:val="24"/>
        </w:rPr>
        <w:t>300</w:t>
      </w:r>
      <w:r>
        <w:rPr>
          <w:szCs w:val="24"/>
        </w:rPr>
        <w:t xml:space="preserve">.00 </w:t>
      </w:r>
      <w:proofErr w:type="spellStart"/>
      <w:r>
        <w:rPr>
          <w:szCs w:val="24"/>
        </w:rPr>
        <w:t>incl</w:t>
      </w:r>
      <w:proofErr w:type="spellEnd"/>
      <w:r>
        <w:rPr>
          <w:szCs w:val="24"/>
        </w:rPr>
        <w:t xml:space="preserve"> VAT. This includes two lunches, coffee breaks, a common dinner on the evening of the first day, and all course materials.</w:t>
      </w:r>
    </w:p>
    <w:p w:rsidR="00BD0D6F" w:rsidRDefault="00BD0D6F">
      <w:pPr>
        <w:ind w:left="284"/>
        <w:rPr>
          <w:b/>
          <w:szCs w:val="24"/>
        </w:rPr>
      </w:pPr>
    </w:p>
    <w:p w:rsidR="00BD0D6F" w:rsidRDefault="00006CE9">
      <w:pPr>
        <w:ind w:left="284"/>
        <w:rPr>
          <w:szCs w:val="24"/>
        </w:rPr>
      </w:pPr>
      <w:r>
        <w:rPr>
          <w:b/>
          <w:szCs w:val="24"/>
        </w:rPr>
        <w:t>Accommodation and Transport</w:t>
      </w:r>
    </w:p>
    <w:p w:rsidR="00BD0D6F" w:rsidRDefault="00006CE9">
      <w:pPr>
        <w:ind w:left="284"/>
        <w:rPr>
          <w:b/>
          <w:szCs w:val="24"/>
        </w:rPr>
      </w:pPr>
      <w:r>
        <w:rPr>
          <w:szCs w:val="24"/>
        </w:rPr>
        <w:t xml:space="preserve">Course participants are responsible for their own hotel reservations and transport to workshop location </w:t>
      </w:r>
    </w:p>
    <w:p w:rsidR="00BD0D6F" w:rsidRDefault="00006CE9">
      <w:pPr>
        <w:ind w:left="284"/>
        <w:rPr>
          <w:szCs w:val="24"/>
        </w:rPr>
      </w:pPr>
      <w:r>
        <w:rPr>
          <w:b/>
          <w:szCs w:val="24"/>
        </w:rPr>
        <w:t>Questions</w:t>
      </w:r>
      <w:r>
        <w:rPr>
          <w:szCs w:val="24"/>
        </w:rPr>
        <w:t xml:space="preserve"> regarding the course could be addressed to </w:t>
      </w:r>
      <w:r>
        <w:rPr>
          <w:szCs w:val="24"/>
        </w:rPr>
        <w:br/>
        <w:t>David Slater</w:t>
      </w:r>
    </w:p>
    <w:p w:rsidR="00CD0C31" w:rsidRDefault="00CD0C31">
      <w:pPr>
        <w:ind w:left="284"/>
      </w:pPr>
    </w:p>
    <w:p w:rsidR="00BD0D6F" w:rsidRDefault="00006CE9">
      <w:pPr>
        <w:ind w:left="284"/>
      </w:pPr>
      <w:r>
        <w:rPr>
          <w:b/>
          <w:szCs w:val="24"/>
        </w:rPr>
        <w:t>Minimum and maximum participation</w:t>
      </w:r>
    </w:p>
    <w:p w:rsidR="00BD0D6F" w:rsidRDefault="00006CE9">
      <w:pPr>
        <w:ind w:left="284"/>
        <w:rPr>
          <w:sz w:val="20"/>
        </w:rPr>
      </w:pPr>
      <w:r>
        <w:rPr>
          <w:szCs w:val="24"/>
        </w:rPr>
        <w:t>The course will be held if at least 10 persons participate. The maximum number of participants is 25.</w:t>
      </w:r>
    </w:p>
    <w:p w:rsidR="00BD0D6F" w:rsidRDefault="00BD0D6F">
      <w:pPr>
        <w:rPr>
          <w:sz w:val="20"/>
        </w:rPr>
      </w:pPr>
    </w:p>
    <w:p w:rsidR="00BD0D6F" w:rsidRDefault="00006CE9">
      <w:pPr>
        <w:rPr>
          <w:sz w:val="20"/>
        </w:rPr>
      </w:pPr>
      <w:r>
        <w:br w:type="page"/>
      </w:r>
    </w:p>
    <w:p w:rsidR="00BD0D6F" w:rsidRDefault="00006CE9">
      <w:pPr>
        <w:jc w:val="center"/>
        <w:rPr>
          <w:b/>
          <w:sz w:val="28"/>
          <w:szCs w:val="28"/>
        </w:rPr>
      </w:pPr>
      <w:r>
        <w:rPr>
          <w:b/>
          <w:sz w:val="28"/>
          <w:szCs w:val="28"/>
        </w:rPr>
        <w:t>Registration Form</w:t>
      </w:r>
      <w:r>
        <w:rPr>
          <w:b/>
          <w:sz w:val="28"/>
          <w:szCs w:val="28"/>
        </w:rPr>
        <w:br/>
        <w:t>Functional Resonance Analysis Method (FRAM</w:t>
      </w:r>
      <w:proofErr w:type="gramStart"/>
      <w:r>
        <w:rPr>
          <w:b/>
          <w:sz w:val="28"/>
          <w:szCs w:val="28"/>
        </w:rPr>
        <w:t>)</w:t>
      </w:r>
      <w:proofErr w:type="gramEnd"/>
      <w:r>
        <w:rPr>
          <w:b/>
          <w:sz w:val="28"/>
          <w:szCs w:val="28"/>
        </w:rPr>
        <w:br/>
        <w:t xml:space="preserve">2-days Course at Cardiff University, October </w:t>
      </w:r>
      <w:r w:rsidR="00626A9C">
        <w:rPr>
          <w:b/>
          <w:sz w:val="28"/>
          <w:szCs w:val="28"/>
        </w:rPr>
        <w:t>2</w:t>
      </w:r>
      <w:r w:rsidR="00626A9C" w:rsidRPr="00626A9C">
        <w:rPr>
          <w:b/>
          <w:sz w:val="28"/>
          <w:szCs w:val="28"/>
          <w:vertAlign w:val="superscript"/>
        </w:rPr>
        <w:t>nd</w:t>
      </w:r>
      <w:r w:rsidR="00626A9C">
        <w:rPr>
          <w:b/>
          <w:sz w:val="28"/>
          <w:szCs w:val="28"/>
        </w:rPr>
        <w:t xml:space="preserve"> – 3</w:t>
      </w:r>
      <w:r w:rsidR="00626A9C" w:rsidRPr="00626A9C">
        <w:rPr>
          <w:b/>
          <w:sz w:val="28"/>
          <w:szCs w:val="28"/>
          <w:vertAlign w:val="superscript"/>
        </w:rPr>
        <w:t>rd</w:t>
      </w:r>
      <w:r w:rsidR="00626A9C">
        <w:rPr>
          <w:b/>
          <w:sz w:val="28"/>
          <w:szCs w:val="28"/>
        </w:rPr>
        <w:t xml:space="preserve"> </w:t>
      </w:r>
      <w:r>
        <w:rPr>
          <w:b/>
          <w:sz w:val="28"/>
          <w:szCs w:val="28"/>
        </w:rPr>
        <w:t xml:space="preserve"> 2018</w:t>
      </w:r>
    </w:p>
    <w:p w:rsidR="00BD0D6F" w:rsidRDefault="00BD0D6F">
      <w:pPr>
        <w:rPr>
          <w:b/>
        </w:rPr>
      </w:pPr>
    </w:p>
    <w:p w:rsidR="00BD0D6F" w:rsidRDefault="00BD0D6F">
      <w:pPr>
        <w:rPr>
          <w:b/>
        </w:rPr>
      </w:pPr>
    </w:p>
    <w:p w:rsidR="00BD0D6F" w:rsidRDefault="00006CE9" w:rsidP="00626A9C">
      <w:pPr>
        <w:jc w:val="center"/>
        <w:rPr>
          <w:b/>
        </w:rPr>
      </w:pPr>
      <w:r>
        <w:rPr>
          <w:b/>
        </w:rPr>
        <w:t>Ple</w:t>
      </w:r>
      <w:r w:rsidR="00626A9C">
        <w:rPr>
          <w:b/>
        </w:rPr>
        <w:t xml:space="preserve">ase submit your registration to FRAMsynt </w:t>
      </w:r>
    </w:p>
    <w:p w:rsidR="00626A9C" w:rsidRDefault="00626A9C" w:rsidP="00626A9C">
      <w:pPr>
        <w:jc w:val="center"/>
      </w:pPr>
      <w:r>
        <w:rPr>
          <w:b/>
        </w:rPr>
        <w:t>(ellen.pawley@cambrensis.org)</w:t>
      </w:r>
    </w:p>
    <w:p w:rsidR="00BD0D6F" w:rsidRDefault="00006CE9">
      <w:r>
        <w:t>Name</w:t>
      </w:r>
      <w:r>
        <w:tab/>
      </w:r>
      <w:r>
        <w:tab/>
        <w:t>_________________________________________________</w:t>
      </w:r>
    </w:p>
    <w:p w:rsidR="00BD0D6F" w:rsidRDefault="00BD0D6F"/>
    <w:p w:rsidR="00BD0D6F" w:rsidRDefault="00006CE9">
      <w:r>
        <w:t xml:space="preserve">Tittle: </w:t>
      </w:r>
      <w:r>
        <w:tab/>
        <w:t>_________________________________________________</w:t>
      </w:r>
    </w:p>
    <w:p w:rsidR="00BD0D6F" w:rsidRDefault="00BD0D6F"/>
    <w:p w:rsidR="00BD0D6F" w:rsidRDefault="00006CE9">
      <w:r>
        <w:t xml:space="preserve">Organisation:    </w:t>
      </w:r>
      <w:r>
        <w:tab/>
        <w:t>_________________________________________________</w:t>
      </w:r>
    </w:p>
    <w:p w:rsidR="00BD0D6F" w:rsidRDefault="00BD0D6F"/>
    <w:p w:rsidR="00BD0D6F" w:rsidRDefault="00006CE9">
      <w:r>
        <w:t xml:space="preserve">Phone:    </w:t>
      </w:r>
      <w:r>
        <w:tab/>
      </w:r>
      <w:r>
        <w:tab/>
        <w:t>_________________________________________________</w:t>
      </w:r>
    </w:p>
    <w:p w:rsidR="00BD0D6F" w:rsidRDefault="00BD0D6F"/>
    <w:p w:rsidR="00BD0D6F" w:rsidRDefault="00006CE9">
      <w:r>
        <w:t xml:space="preserve">Fax: </w:t>
      </w:r>
      <w:r>
        <w:tab/>
        <w:t xml:space="preserve">   </w:t>
      </w:r>
      <w:r>
        <w:tab/>
      </w:r>
      <w:r>
        <w:tab/>
        <w:t>_________________________________________________</w:t>
      </w:r>
    </w:p>
    <w:p w:rsidR="00BD0D6F" w:rsidRDefault="00BD0D6F"/>
    <w:p w:rsidR="00BD0D6F" w:rsidRDefault="00006CE9">
      <w:r>
        <w:t xml:space="preserve">E-mail:     </w:t>
      </w:r>
      <w:r>
        <w:tab/>
      </w:r>
      <w:r>
        <w:tab/>
        <w:t>_________________________________________________</w:t>
      </w:r>
    </w:p>
    <w:p w:rsidR="00BD0D6F" w:rsidRDefault="00BD0D6F"/>
    <w:p w:rsidR="00BD0D6F" w:rsidRDefault="00006CE9">
      <w:r>
        <w:t xml:space="preserve">Invoice address:     </w:t>
      </w:r>
      <w:r>
        <w:tab/>
        <w:t>_________________________________________________</w:t>
      </w:r>
    </w:p>
    <w:p w:rsidR="00BD0D6F" w:rsidRDefault="00BD0D6F"/>
    <w:p w:rsidR="00BD0D6F" w:rsidRDefault="00006CE9">
      <w:r>
        <w:t>Invoice reference:       _______________________________________________</w:t>
      </w:r>
    </w:p>
    <w:p w:rsidR="00BD0D6F" w:rsidRDefault="00BD0D6F"/>
    <w:p w:rsidR="00BD0D6F" w:rsidRDefault="00BD0D6F">
      <w:pPr>
        <w:rPr>
          <w:lang w:val="fr-FR"/>
        </w:rPr>
      </w:pPr>
    </w:p>
    <w:p w:rsidR="00BD0D6F" w:rsidRDefault="00BD0D6F">
      <w:pPr>
        <w:rPr>
          <w:lang w:val="fr-FR"/>
        </w:rPr>
      </w:pPr>
    </w:p>
    <w:p w:rsidR="00BD0D6F" w:rsidRDefault="00BD0D6F">
      <w:pPr>
        <w:rPr>
          <w:lang w:val="fr-FR"/>
        </w:rPr>
      </w:pPr>
    </w:p>
    <w:p w:rsidR="00BD0D6F" w:rsidRDefault="00BD0D6F">
      <w:pPr>
        <w:rPr>
          <w:lang w:val="fr-FR"/>
        </w:rPr>
      </w:pPr>
    </w:p>
    <w:p w:rsidR="00BD0D6F" w:rsidRDefault="00BD0D6F">
      <w:pPr>
        <w:rPr>
          <w:lang w:val="fr-FR"/>
        </w:rPr>
      </w:pPr>
    </w:p>
    <w:p w:rsidR="00BD0D6F" w:rsidRDefault="00BD0D6F">
      <w:pPr>
        <w:rPr>
          <w:lang w:val="fr-FR"/>
        </w:rPr>
      </w:pPr>
    </w:p>
    <w:sectPr w:rsidR="00BD0D6F">
      <w:headerReference w:type="default" r:id="rId7"/>
      <w:pgSz w:w="11906" w:h="16838"/>
      <w:pgMar w:top="1701" w:right="1701" w:bottom="3612" w:left="1701" w:header="0" w:footer="1701"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D2" w:rsidRDefault="00F535D2">
      <w:pPr>
        <w:spacing w:after="0" w:line="240" w:lineRule="auto"/>
      </w:pPr>
      <w:r>
        <w:separator/>
      </w:r>
    </w:p>
  </w:endnote>
  <w:endnote w:type="continuationSeparator" w:id="0">
    <w:p w:rsidR="00F535D2" w:rsidRDefault="00F5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Arial">
    <w:panose1 w:val="00000000000000000000"/>
    <w:charset w:val="00"/>
    <w:family w:val="roman"/>
    <w:notTrueType/>
    <w:pitch w:val="default"/>
  </w:font>
  <w:font w:name="MS Mincho;Arial Unicode M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D2" w:rsidRDefault="00F535D2">
      <w:pPr>
        <w:spacing w:after="0" w:line="240" w:lineRule="auto"/>
      </w:pPr>
      <w:r>
        <w:separator/>
      </w:r>
    </w:p>
  </w:footnote>
  <w:footnote w:type="continuationSeparator" w:id="0">
    <w:p w:rsidR="00F535D2" w:rsidRDefault="00F5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9C" w:rsidRDefault="00626A9C">
    <w:pPr>
      <w:pStyle w:val="Header"/>
    </w:pPr>
    <w:r w:rsidRPr="00493CD2">
      <w:rPr>
        <w:rFonts w:ascii="Century Gothic" w:hAnsi="Century Gothic"/>
        <w:noProof/>
        <w:color w:val="70AD47" w:themeColor="accent6"/>
        <w:spacing w:val="40"/>
        <w:kern w:val="32"/>
        <w:lang w:eastAsia="en-GB"/>
      </w:rPr>
      <w:drawing>
        <wp:anchor distT="0" distB="0" distL="114300" distR="114300" simplePos="0" relativeHeight="251659264" behindDoc="1" locked="0" layoutInCell="1" allowOverlap="1" wp14:anchorId="6DDD00E0" wp14:editId="52779074">
          <wp:simplePos x="0" y="0"/>
          <wp:positionH relativeFrom="margin">
            <wp:align>left</wp:align>
          </wp:positionH>
          <wp:positionV relativeFrom="paragraph">
            <wp:posOffset>215661</wp:posOffset>
          </wp:positionV>
          <wp:extent cx="1035170" cy="86233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83" cy="865423"/>
                  </a:xfrm>
                  <a:prstGeom prst="rect">
                    <a:avLst/>
                  </a:prstGeom>
                  <a:noFill/>
                </pic:spPr>
              </pic:pic>
            </a:graphicData>
          </a:graphic>
          <wp14:sizeRelH relativeFrom="page">
            <wp14:pctWidth>0</wp14:pctWidth>
          </wp14:sizeRelH>
          <wp14:sizeRelV relativeFrom="page">
            <wp14:pctHeight>0</wp14:pctHeight>
          </wp14:sizeRelV>
        </wp:anchor>
      </w:drawing>
    </w:r>
  </w:p>
  <w:p w:rsidR="002522AE" w:rsidRDefault="00626A9C">
    <w:pPr>
      <w:pStyle w:val="Header"/>
    </w:pPr>
    <w:r>
      <w:t xml:space="preserve">                                                                                     </w:t>
    </w:r>
    <w:r>
      <w:rPr>
        <w:noProof/>
        <w:lang w:eastAsia="en-GB"/>
      </w:rPr>
      <w:drawing>
        <wp:inline distT="0" distB="0" distL="0" distR="0" wp14:anchorId="0D32819E" wp14:editId="43B47E99">
          <wp:extent cx="1190625" cy="90487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1190625" cy="904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06BF4"/>
    <w:multiLevelType w:val="multilevel"/>
    <w:tmpl w:val="979A6264"/>
    <w:lvl w:ilvl="0">
      <w:start w:val="1"/>
      <w:numFmt w:val="decimal"/>
      <w:pStyle w:val="Heading1"/>
      <w:suff w:val="nothing"/>
      <w:lvlText w:val="%1"/>
      <w:lvlJc w:val="left"/>
      <w:pPr>
        <w:ind w:left="0" w:firstLine="0"/>
      </w:pPr>
      <w:rPr>
        <w:rFonts w:ascii="Symbol" w:hAnsi="Symbol" w:cs="Symbol"/>
      </w:rPr>
    </w:lvl>
    <w:lvl w:ilvl="1">
      <w:start w:val="1"/>
      <w:numFmt w:val="decimal"/>
      <w:pStyle w:val="Heading2"/>
      <w:suff w:val="nothing"/>
      <w:lvlText w:val="%1.%2"/>
      <w:lvlJc w:val="left"/>
      <w:pPr>
        <w:ind w:left="0" w:firstLine="0"/>
      </w:pPr>
    </w:lvl>
    <w:lvl w:ilvl="2">
      <w:start w:val="1"/>
      <w:numFmt w:val="decimal"/>
      <w:pStyle w:val="Heading3"/>
      <w:suff w:val="nothing"/>
      <w:lvlText w:val="%1.%2.%3"/>
      <w:lvlJc w:val="left"/>
      <w:pPr>
        <w:ind w:left="0" w:firstLine="0"/>
      </w:pPr>
    </w:lvl>
    <w:lvl w:ilvl="3">
      <w:start w:val="1"/>
      <w:numFmt w:val="decimal"/>
      <w:pStyle w:val="Heading4"/>
      <w:suff w:val="nothing"/>
      <w:lvlText w:val="%1.%2.%3.%4"/>
      <w:lvlJc w:val="left"/>
      <w:pPr>
        <w:ind w:left="0" w:firstLine="0"/>
      </w:pPr>
    </w:lvl>
    <w:lvl w:ilvl="4">
      <w:start w:val="1"/>
      <w:numFmt w:val="decimal"/>
      <w:pStyle w:val="Heading5"/>
      <w:suff w:val="nothing"/>
      <w:lvlText w:val="%1.%2.%3.%4.%5"/>
      <w:lvlJc w:val="left"/>
      <w:pPr>
        <w:ind w:left="0" w:firstLine="0"/>
      </w:pPr>
    </w:lvl>
    <w:lvl w:ilvl="5">
      <w:start w:val="1"/>
      <w:numFmt w:val="decimal"/>
      <w:pStyle w:val="Heading6"/>
      <w:suff w:val="nothing"/>
      <w:lvlText w:val="%1.%2.%3.%4.%5.%6"/>
      <w:lvlJc w:val="left"/>
      <w:pPr>
        <w:ind w:left="0" w:firstLine="0"/>
      </w:pPr>
    </w:lvl>
    <w:lvl w:ilvl="6">
      <w:start w:val="1"/>
      <w:numFmt w:val="decimal"/>
      <w:pStyle w:val="Heading7"/>
      <w:suff w:val="nothing"/>
      <w:lvlText w:val="%1.%2.%3.%4.%5.%6.%7"/>
      <w:lvlJc w:val="left"/>
      <w:pPr>
        <w:ind w:left="0" w:firstLine="0"/>
      </w:pPr>
    </w:lvl>
    <w:lvl w:ilvl="7">
      <w:start w:val="1"/>
      <w:numFmt w:val="decimal"/>
      <w:pStyle w:val="Heading8"/>
      <w:suff w:val="nothing"/>
      <w:lvlText w:val="%1.%2.%3.%4.%5.%6.%7.%8"/>
      <w:lvlJc w:val="left"/>
      <w:pPr>
        <w:ind w:left="0" w:firstLine="0"/>
      </w:pPr>
    </w:lvl>
    <w:lvl w:ilvl="8">
      <w:start w:val="1"/>
      <w:numFmt w:val="decimal"/>
      <w:pStyle w:val="Heading9"/>
      <w:suff w:val="nothing"/>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6F"/>
    <w:rsid w:val="00006CE9"/>
    <w:rsid w:val="002522AE"/>
    <w:rsid w:val="00626A9C"/>
    <w:rsid w:val="00A865CC"/>
    <w:rsid w:val="00BD0D6F"/>
    <w:rsid w:val="00CD0C31"/>
    <w:rsid w:val="00D46D1D"/>
    <w:rsid w:val="00F06091"/>
    <w:rsid w:val="00F535D2"/>
    <w:rsid w:val="00FC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23F35-12CA-43C5-B421-F1C7098C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Noto Sans CJK SC Regular" w:hAnsi="Garamond"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57" w:line="240" w:lineRule="atLeast"/>
      <w:jc w:val="both"/>
    </w:pPr>
    <w:rPr>
      <w:rFonts w:ascii="Trebuchet MS" w:eastAsia="Times New Roman" w:hAnsi="Trebuchet MS" w:cs="Times New Roman"/>
      <w:color w:val="000000"/>
      <w:sz w:val="24"/>
      <w:szCs w:val="20"/>
      <w:lang w:bidi="ar-SA"/>
    </w:rPr>
  </w:style>
  <w:style w:type="paragraph" w:styleId="Heading1">
    <w:name w:val="heading 1"/>
    <w:basedOn w:val="Normal"/>
    <w:next w:val="Normal"/>
    <w:qFormat/>
    <w:pPr>
      <w:keepNext/>
      <w:keepLines/>
      <w:numPr>
        <w:numId w:val="1"/>
      </w:numPr>
      <w:tabs>
        <w:tab w:val="left" w:pos="907"/>
        <w:tab w:val="left" w:pos="1361"/>
        <w:tab w:val="left" w:pos="1814"/>
      </w:tabs>
      <w:spacing w:before="240" w:after="60"/>
      <w:outlineLvl w:val="0"/>
    </w:pPr>
    <w:rPr>
      <w:b/>
      <w:sz w:val="28"/>
    </w:rPr>
  </w:style>
  <w:style w:type="paragraph" w:styleId="Heading2">
    <w:name w:val="heading 2"/>
    <w:basedOn w:val="Normal"/>
    <w:next w:val="Normal"/>
    <w:qFormat/>
    <w:pPr>
      <w:keepNext/>
      <w:keepLines/>
      <w:numPr>
        <w:ilvl w:val="1"/>
        <w:numId w:val="1"/>
      </w:numPr>
      <w:tabs>
        <w:tab w:val="left" w:pos="907"/>
        <w:tab w:val="left" w:pos="1361"/>
        <w:tab w:val="left" w:pos="1814"/>
      </w:tabs>
      <w:spacing w:before="240" w:after="60"/>
      <w:outlineLvl w:val="1"/>
    </w:pPr>
    <w:rPr>
      <w:b/>
    </w:rPr>
  </w:style>
  <w:style w:type="paragraph" w:styleId="Heading3">
    <w:name w:val="heading 3"/>
    <w:basedOn w:val="Normal"/>
    <w:next w:val="Normal"/>
    <w:qFormat/>
    <w:pPr>
      <w:keepNext/>
      <w:keepLines/>
      <w:numPr>
        <w:ilvl w:val="2"/>
        <w:numId w:val="1"/>
      </w:numPr>
      <w:tabs>
        <w:tab w:val="left" w:pos="454"/>
        <w:tab w:val="left" w:pos="907"/>
        <w:tab w:val="left" w:pos="1361"/>
        <w:tab w:val="left" w:pos="1814"/>
      </w:tabs>
      <w:spacing w:before="240" w:after="60"/>
      <w:outlineLvl w:val="2"/>
    </w:pPr>
    <w:rPr>
      <w:b/>
    </w:rPr>
  </w:style>
  <w:style w:type="paragraph" w:styleId="Heading4">
    <w:name w:val="heading 4"/>
    <w:basedOn w:val="Normal"/>
    <w:next w:val="Normal"/>
    <w:qFormat/>
    <w:pPr>
      <w:keepNext/>
      <w:numPr>
        <w:ilvl w:val="3"/>
        <w:numId w:val="1"/>
      </w:numPr>
      <w:tabs>
        <w:tab w:val="left" w:pos="454"/>
        <w:tab w:val="left" w:pos="907"/>
        <w:tab w:val="left" w:pos="1361"/>
        <w:tab w:val="left" w:pos="1814"/>
      </w:tabs>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b/>
    </w:rPr>
  </w:style>
  <w:style w:type="paragraph" w:styleId="Heading7">
    <w:name w:val="heading 7"/>
    <w:basedOn w:val="Normal"/>
    <w:next w:val="Normal"/>
    <w:qFormat/>
    <w:pPr>
      <w:numPr>
        <w:ilvl w:val="6"/>
        <w:numId w:val="1"/>
      </w:numPr>
      <w:spacing w:before="240" w:after="60"/>
      <w:outlineLvl w:val="6"/>
    </w:pPr>
    <w:rPr>
      <w:b/>
    </w:rPr>
  </w:style>
  <w:style w:type="paragraph" w:styleId="Heading8">
    <w:name w:val="heading 8"/>
    <w:basedOn w:val="Normal"/>
    <w:next w:val="Normal"/>
    <w:qFormat/>
    <w:pPr>
      <w:numPr>
        <w:ilvl w:val="7"/>
        <w:numId w:val="1"/>
      </w:numPr>
      <w:spacing w:before="240" w:after="60"/>
      <w:outlineLvl w:val="7"/>
    </w:pPr>
    <w:rPr>
      <w:b/>
    </w:rPr>
  </w:style>
  <w:style w:type="paragraph" w:styleId="Heading9">
    <w:name w:val="heading 9"/>
    <w:basedOn w:val="Normal"/>
    <w:next w:val="Normal"/>
    <w:qFormat/>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en-US"/>
    </w:rPr>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DefaultParagraphFont1">
    <w:name w:val="WW-Default Paragraph Font1"/>
    <w:qFormat/>
  </w:style>
  <w:style w:type="character" w:styleId="CommentReference">
    <w:name w:val="annotation reference"/>
    <w:basedOn w:val="WW-DefaultParagraphFont1"/>
    <w:qFormat/>
    <w:rPr>
      <w:sz w:val="16"/>
    </w:rPr>
  </w:style>
  <w:style w:type="character" w:styleId="Emphasis">
    <w:name w:val="Emphasis"/>
    <w:basedOn w:val="WW-DefaultParagraphFont1"/>
    <w:qFormat/>
    <w:rPr>
      <w:i/>
    </w:rPr>
  </w:style>
  <w:style w:type="character" w:customStyle="1" w:styleId="EndnoteCharacters">
    <w:name w:val="Endnote Characters"/>
    <w:basedOn w:val="WW-DefaultParagraphFont1"/>
    <w:qFormat/>
    <w:rPr>
      <w:vertAlign w:val="superscript"/>
    </w:rPr>
  </w:style>
  <w:style w:type="character" w:customStyle="1" w:styleId="VisitedInternetLink">
    <w:name w:val="Visited Internet Link"/>
    <w:basedOn w:val="WW-DefaultParagraphFont1"/>
    <w:rPr>
      <w:color w:val="800080"/>
      <w:u w:val="single"/>
    </w:rPr>
  </w:style>
  <w:style w:type="character" w:customStyle="1" w:styleId="FootnoteCharacters">
    <w:name w:val="Footnote Characters"/>
    <w:basedOn w:val="WW-DefaultParagraphFont1"/>
    <w:qFormat/>
    <w:rPr>
      <w:vertAlign w:val="superscript"/>
    </w:rPr>
  </w:style>
  <w:style w:type="character" w:customStyle="1" w:styleId="InternetLink">
    <w:name w:val="Internet Link"/>
    <w:basedOn w:val="WW-DefaultParagraphFont1"/>
    <w:rPr>
      <w:color w:val="0000FF"/>
      <w:u w:val="single"/>
    </w:rPr>
  </w:style>
  <w:style w:type="character" w:customStyle="1" w:styleId="LineNumbering">
    <w:name w:val="Line Numbering"/>
    <w:basedOn w:val="WW-DefaultParagraphFont1"/>
  </w:style>
  <w:style w:type="character" w:styleId="PageNumber">
    <w:name w:val="page number"/>
    <w:basedOn w:val="WW-DefaultParagraphFont1"/>
  </w:style>
  <w:style w:type="character" w:customStyle="1" w:styleId="StrongEmphasis">
    <w:name w:val="Strong Emphasis"/>
    <w:basedOn w:val="WW-DefaultParagraphFont1"/>
    <w:qFormat/>
    <w:rPr>
      <w:b/>
    </w:rPr>
  </w:style>
  <w:style w:type="character" w:customStyle="1" w:styleId="Logotekst1">
    <w:name w:val="Logotekst1"/>
    <w:basedOn w:val="WW-DefaultParagraphFont1"/>
    <w:qFormat/>
    <w:rPr>
      <w:rFonts w:ascii="Times New Roman" w:hAnsi="Times New Roman" w:cs="Times New Roman"/>
      <w:spacing w:val="14"/>
      <w:sz w:val="26"/>
      <w:lang w:val="nb-NO"/>
    </w:rPr>
  </w:style>
  <w:style w:type="character" w:customStyle="1" w:styleId="Logotekst2">
    <w:name w:val="Logotekst2"/>
    <w:basedOn w:val="WW-DefaultParagraphFont1"/>
    <w:qFormat/>
    <w:rPr>
      <w:rFonts w:ascii="Times New Roman" w:hAnsi="Times New Roman" w:cs="Times New Roman"/>
      <w:b/>
      <w:smallCaps/>
      <w:spacing w:val="10"/>
      <w:sz w:val="20"/>
      <w:lang w:val="nb-NO"/>
    </w:rPr>
  </w:style>
  <w:style w:type="paragraph" w:customStyle="1" w:styleId="Heading">
    <w:name w:val="Heading"/>
    <w:basedOn w:val="Normal"/>
    <w:next w:val="BodyText"/>
    <w:qFormat/>
    <w:pPr>
      <w:keepNext/>
      <w:spacing w:before="240" w:after="120"/>
    </w:pPr>
    <w:rPr>
      <w:rFonts w:ascii="Times New Roman" w:eastAsia="MS Mincho;ＭＳ 明朝" w:hAnsi="Times New Roman" w:cs="Tahoma"/>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Tahoma"/>
    </w:rPr>
  </w:style>
  <w:style w:type="paragraph" w:styleId="BlockText">
    <w:name w:val="Block Text"/>
    <w:basedOn w:val="Normal"/>
    <w:qFormat/>
    <w:pPr>
      <w:spacing w:after="120"/>
      <w:ind w:left="1440" w:right="1440"/>
    </w:pPr>
  </w:style>
  <w:style w:type="paragraph" w:styleId="TOC1">
    <w:name w:val="toc 1"/>
    <w:basedOn w:val="Normal"/>
    <w:next w:val="Normal"/>
    <w:pPr>
      <w:tabs>
        <w:tab w:val="left" w:pos="852"/>
        <w:tab w:val="right" w:leader="dot" w:pos="9782"/>
      </w:tabs>
      <w:spacing w:before="120" w:after="0"/>
      <w:ind w:left="426" w:right="396" w:hanging="426"/>
    </w:pPr>
    <w:rPr>
      <w:b/>
    </w:r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losing">
    <w:name w:val="Closing"/>
    <w:basedOn w:val="Normal"/>
    <w:qFormat/>
    <w:pPr>
      <w:ind w:left="4252"/>
    </w:pPr>
  </w:style>
  <w:style w:type="paragraph" w:styleId="CommentText">
    <w:name w:val="annotation text"/>
    <w:basedOn w:val="Normal"/>
    <w:qFormat/>
    <w:rPr>
      <w:sz w:val="20"/>
    </w:rPr>
  </w:style>
  <w:style w:type="paragraph" w:styleId="Date">
    <w:name w:val="Date"/>
    <w:basedOn w:val="Normal"/>
    <w:next w:val="Normal"/>
    <w:qFormat/>
  </w:style>
  <w:style w:type="paragraph" w:styleId="DocumentMap">
    <w:name w:val="Document Map"/>
    <w:basedOn w:val="Normal"/>
    <w:qFormat/>
    <w:pPr>
      <w:shd w:val="clear" w:color="auto" w:fill="000080"/>
    </w:pPr>
    <w:rPr>
      <w:rFonts w:ascii="Tahoma" w:hAnsi="Tahoma" w:cs="Tahoma"/>
    </w:rPr>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rPr>
  </w:style>
  <w:style w:type="paragraph" w:styleId="Footer">
    <w:name w:val="footer"/>
    <w:basedOn w:val="Normal"/>
    <w:pPr>
      <w:tabs>
        <w:tab w:val="center" w:pos="4593"/>
        <w:tab w:val="right" w:pos="9185"/>
      </w:tabs>
    </w:pPr>
  </w:style>
  <w:style w:type="paragraph" w:styleId="FootnoteText">
    <w:name w:val="footnote text"/>
    <w:basedOn w:val="Normal"/>
    <w:rPr>
      <w:sz w:val="20"/>
    </w:rPr>
  </w:style>
  <w:style w:type="paragraph" w:styleId="Header">
    <w:name w:val="header"/>
    <w:basedOn w:val="Normal"/>
    <w:pPr>
      <w:tabs>
        <w:tab w:val="center" w:pos="4593"/>
        <w:tab w:val="right" w:pos="9185"/>
      </w:tabs>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rPr>
      <w:b/>
    </w:rPr>
  </w:style>
  <w:style w:type="paragraph" w:styleId="ListBullet3">
    <w:name w:val="List Bullet 3"/>
    <w:basedOn w:val="Normal"/>
    <w:qFormat/>
  </w:style>
  <w:style w:type="paragraph" w:styleId="ListBullet4">
    <w:name w:val="List Bullet 4"/>
    <w:basedOn w:val="Normal"/>
    <w:qFormat/>
  </w:style>
  <w:style w:type="paragraph" w:styleId="ListBullet5">
    <w:name w:val="List Bullet 5"/>
    <w:basedOn w:val="Normal"/>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Normal"/>
    <w:qFormat/>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Normal"/>
    <w:qFormat/>
  </w:style>
  <w:style w:type="paragraph" w:styleId="ListNumber3">
    <w:name w:val="List Number 3"/>
    <w:basedOn w:val="Normal"/>
    <w:qFormat/>
  </w:style>
  <w:style w:type="paragraph" w:styleId="ListNumber4">
    <w:name w:val="List Number 4"/>
    <w:basedOn w:val="Normal"/>
    <w:qFormat/>
  </w:style>
  <w:style w:type="paragraph" w:styleId="ListNumber5">
    <w:name w:val="List Number 5"/>
    <w:basedOn w:val="Normal"/>
    <w:qFormat/>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 New Roman"/>
      <w:szCs w:val="20"/>
      <w:lang w:val="en-US" w:bidi="ar-SA"/>
    </w:rPr>
  </w:style>
  <w:style w:type="paragraph" w:styleId="MessageHeader">
    <w:name w:val="Message Header"/>
    <w:basedOn w:val="Normal"/>
    <w:qFormat/>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NormalIndent">
    <w:name w:val="Normal Indent"/>
    <w:basedOn w:val="Normal"/>
    <w:qFormat/>
    <w:pPr>
      <w:ind w:left="708"/>
    </w:pPr>
  </w:style>
  <w:style w:type="paragraph" w:styleId="NoteHeading">
    <w:name w:val="Note Heading"/>
    <w:basedOn w:val="Normal"/>
    <w:next w:val="Normal"/>
    <w:qFormat/>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pPr>
      <w:ind w:left="4252"/>
    </w:pPr>
  </w:style>
  <w:style w:type="paragraph" w:styleId="Subtitle">
    <w:name w:val="Subtitle"/>
    <w:basedOn w:val="Normal"/>
    <w:next w:val="BodyText"/>
    <w:qFormat/>
    <w:pPr>
      <w:spacing w:after="60"/>
      <w:jc w:val="center"/>
    </w:p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itle">
    <w:name w:val="Title"/>
    <w:basedOn w:val="Normal"/>
    <w:next w:val="Subtitle"/>
    <w:qFormat/>
    <w:pPr>
      <w:spacing w:before="240" w:after="60"/>
      <w:jc w:val="center"/>
    </w:pPr>
    <w:rPr>
      <w:b/>
      <w:sz w:val="28"/>
    </w:rPr>
  </w:style>
  <w:style w:type="paragraph" w:styleId="TOAHeading">
    <w:name w:val="toa heading"/>
    <w:basedOn w:val="Normal"/>
    <w:next w:val="Normal"/>
    <w:qFormat/>
    <w:pPr>
      <w:spacing w:before="120" w:after="0"/>
    </w:pPr>
    <w:rPr>
      <w:b/>
    </w:rPr>
  </w:style>
  <w:style w:type="paragraph" w:styleId="TOC2">
    <w:name w:val="toc 2"/>
    <w:basedOn w:val="Normal"/>
    <w:next w:val="Normal"/>
    <w:pPr>
      <w:tabs>
        <w:tab w:val="left" w:pos="1986"/>
        <w:tab w:val="right" w:leader="dot" w:pos="10349"/>
      </w:tabs>
      <w:ind w:left="993" w:right="396" w:hanging="567"/>
    </w:pPr>
  </w:style>
  <w:style w:type="paragraph" w:styleId="TOC3">
    <w:name w:val="toc 3"/>
    <w:basedOn w:val="Normal"/>
    <w:next w:val="Normal"/>
    <w:pPr>
      <w:tabs>
        <w:tab w:val="left" w:pos="3402"/>
        <w:tab w:val="right" w:leader="dot" w:pos="11057"/>
      </w:tabs>
      <w:ind w:left="1701" w:right="396" w:hanging="708"/>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NormalBold">
    <w:name w:val="Normal Bold"/>
    <w:basedOn w:val="Normal"/>
    <w:qFormat/>
    <w:rPr>
      <w:b/>
    </w:rPr>
  </w:style>
  <w:style w:type="paragraph" w:customStyle="1" w:styleId="Normaluthevet">
    <w:name w:val="Normal uthevet"/>
    <w:basedOn w:val="Normal"/>
    <w:qFormat/>
    <w:rPr>
      <w:b/>
    </w:rPr>
  </w:style>
  <w:style w:type="paragraph" w:customStyle="1" w:styleId="xkaLedetekst">
    <w:name w:val="xkaLedetekst"/>
    <w:qFormat/>
    <w:pPr>
      <w:suppressAutoHyphens/>
      <w:spacing w:before="20" w:after="60"/>
      <w:ind w:left="57"/>
    </w:pPr>
    <w:rPr>
      <w:rFonts w:ascii="Helvetica;Arial" w:eastAsia="Arial" w:hAnsi="Helvetica;Arial" w:cs="Times New Roman"/>
      <w:sz w:val="14"/>
      <w:szCs w:val="20"/>
      <w:lang w:val="en-US" w:bidi="ar-SA"/>
    </w:rPr>
  </w:style>
  <w:style w:type="paragraph" w:customStyle="1" w:styleId="xkaSkjemaTekst">
    <w:name w:val="xkaSkjemaTekst"/>
    <w:basedOn w:val="Normal"/>
    <w:qFormat/>
    <w:pPr>
      <w:ind w:left="57"/>
    </w:pPr>
  </w:style>
  <w:style w:type="paragraph" w:customStyle="1" w:styleId="xkaSkjemaTekstBold">
    <w:name w:val="xkaSkjemaTekstBold"/>
    <w:basedOn w:val="xkaSkjemaTekst"/>
    <w:qFormat/>
    <w:rPr>
      <w:b/>
    </w:rPr>
  </w:style>
  <w:style w:type="paragraph" w:customStyle="1" w:styleId="xkaSkjemaTekstISBN">
    <w:name w:val="xkaSkjemaTekstISBN"/>
    <w:basedOn w:val="xkaSkjemaTekst"/>
    <w:qFormat/>
    <w:rPr>
      <w:sz w:val="20"/>
    </w:rPr>
  </w:style>
  <w:style w:type="paragraph" w:customStyle="1" w:styleId="xkaSkjemaTittel">
    <w:name w:val="xkaSkjemaTittel"/>
    <w:next w:val="Normal"/>
    <w:qFormat/>
    <w:pPr>
      <w:suppressAutoHyphens/>
    </w:pPr>
    <w:rPr>
      <w:rFonts w:ascii="Helvetica;Arial" w:eastAsia="Arial" w:hAnsi="Helvetica;Arial" w:cs="Times New Roman"/>
      <w:b/>
      <w:sz w:val="44"/>
      <w:szCs w:val="20"/>
      <w:lang w:val="en-US" w:bidi="ar-SA"/>
    </w:rPr>
  </w:style>
  <w:style w:type="paragraph" w:customStyle="1" w:styleId="xxvedlegg">
    <w:name w:val="xxvedlegg"/>
    <w:basedOn w:val="Normal"/>
    <w:next w:val="Normal"/>
    <w:qFormat/>
    <w:rPr>
      <w:b/>
      <w:sz w:val="28"/>
    </w:rPr>
  </w:style>
  <w:style w:type="paragraph" w:customStyle="1" w:styleId="Normalafterheading">
    <w:name w:val="Normal after heading"/>
    <w:basedOn w:val="Normal"/>
    <w:qFormat/>
    <w:pPr>
      <w:tabs>
        <w:tab w:val="left" w:pos="284"/>
      </w:tabs>
    </w:pPr>
    <w:rPr>
      <w:rFonts w:eastAsia="MS Mincho;Arial Unicode MS"/>
      <w:szCs w:val="24"/>
      <w:lang w:eastAsia="ja-JP"/>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Functional Resonance Analysis Method (FRAM) Mini Course</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Resonance Analysis Method (FRAM) Mini Course</dc:title>
  <dc:subject/>
  <dc:creator>ivonneh</dc:creator>
  <dc:description/>
  <cp:lastModifiedBy>David Slater</cp:lastModifiedBy>
  <cp:revision>2</cp:revision>
  <dcterms:created xsi:type="dcterms:W3CDTF">2018-09-05T13:40:00Z</dcterms:created>
  <dcterms:modified xsi:type="dcterms:W3CDTF">2018-09-05T13:40:00Z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-344184673</vt:i4>
  </property>
  <property fmtid="{D5CDD505-2E9C-101B-9397-08002B2CF9AE}" pid="3" name="_AuthorEmail">
    <vt:lpwstr>Ivonne.A.Herrera@sintef.no</vt:lpwstr>
  </property>
  <property fmtid="{D5CDD505-2E9C-101B-9397-08002B2CF9AE}" pid="4" name="_AuthorEmailDisplayName">
    <vt:lpwstr>Ivonne Herrera</vt:lpwstr>
  </property>
  <property fmtid="{D5CDD505-2E9C-101B-9397-08002B2CF9AE}" pid="5" name="_EmailSubject">
    <vt:lpwstr>FRAM industry course 2010</vt:lpwstr>
  </property>
  <property fmtid="{D5CDD505-2E9C-101B-9397-08002B2CF9AE}" pid="6" name="_ReviewingToolsShownOnce">
    <vt:lpwstr/>
  </property>
</Properties>
</file>